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07B767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AC70A1">
        <w:rPr>
          <w:bCs/>
          <w:noProof w:val="0"/>
          <w:sz w:val="24"/>
          <w:szCs w:val="24"/>
        </w:rPr>
        <w:t>07268</w:t>
      </w:r>
    </w:p>
    <w:p w14:paraId="11776FA6" w14:textId="30634820" w:rsidR="00A209D6" w:rsidRPr="00465587" w:rsidRDefault="00094568" w:rsidP="00A209D6">
      <w:pPr>
        <w:pStyle w:val="Header"/>
        <w:tabs>
          <w:tab w:val="right" w:pos="9639"/>
        </w:tabs>
        <w:rPr>
          <w:rFonts w:eastAsia="SimSun"/>
          <w:bCs/>
          <w:sz w:val="24"/>
          <w:szCs w:val="24"/>
          <w:lang w:eastAsia="zh-CN"/>
        </w:rPr>
      </w:pPr>
      <w:r w:rsidRPr="00094568">
        <w:rPr>
          <w:rFonts w:eastAsia="SimSun"/>
          <w:bCs/>
          <w:sz w:val="24"/>
          <w:szCs w:val="24"/>
          <w:lang w:eastAsia="zh-CN"/>
        </w:rPr>
        <w:t>Reno, USA, 13</w:t>
      </w:r>
      <w:r w:rsidR="00D15EE0" w:rsidRPr="00D15EE0">
        <w:rPr>
          <w:rFonts w:eastAsia="SimSun"/>
          <w:bCs/>
          <w:sz w:val="24"/>
          <w:szCs w:val="24"/>
          <w:vertAlign w:val="superscript"/>
          <w:lang w:eastAsia="zh-CN"/>
        </w:rPr>
        <w:t>th</w:t>
      </w:r>
      <w:r w:rsidRPr="00094568">
        <w:rPr>
          <w:rFonts w:eastAsia="SimSun"/>
          <w:bCs/>
          <w:sz w:val="24"/>
          <w:szCs w:val="24"/>
          <w:lang w:eastAsia="zh-CN"/>
        </w:rPr>
        <w:t xml:space="preserve"> – 17</w:t>
      </w:r>
      <w:r w:rsidR="00D15EE0" w:rsidRPr="00D15EE0">
        <w:rPr>
          <w:rFonts w:eastAsia="SimSun"/>
          <w:bCs/>
          <w:sz w:val="24"/>
          <w:szCs w:val="24"/>
          <w:vertAlign w:val="superscript"/>
          <w:lang w:eastAsia="zh-CN"/>
        </w:rPr>
        <w:t>th</w:t>
      </w:r>
      <w:r w:rsidR="00D15EE0">
        <w:rPr>
          <w:rFonts w:eastAsia="SimSun"/>
          <w:bCs/>
          <w:sz w:val="24"/>
          <w:szCs w:val="24"/>
          <w:vertAlign w:val="superscript"/>
          <w:lang w:eastAsia="zh-CN"/>
        </w:rPr>
        <w:t xml:space="preserve"> </w:t>
      </w:r>
      <w:bookmarkStart w:id="0" w:name="_GoBack"/>
      <w:bookmarkEnd w:id="0"/>
      <w:r w:rsidR="00D15EE0">
        <w:rPr>
          <w:rFonts w:eastAsia="SimSun"/>
          <w:bCs/>
          <w:sz w:val="24"/>
          <w:szCs w:val="24"/>
          <w:lang w:eastAsia="zh-CN"/>
        </w:rPr>
        <w:t>of</w:t>
      </w:r>
      <w:r w:rsidRPr="00094568">
        <w:rPr>
          <w:rFonts w:eastAsia="SimSun"/>
          <w:bCs/>
          <w:sz w:val="24"/>
          <w:szCs w:val="24"/>
          <w:lang w:eastAsia="zh-CN"/>
        </w:rPr>
        <w:t xml:space="preserve"> May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E17F8A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86436">
        <w:rPr>
          <w:rFonts w:cs="Arial"/>
          <w:b/>
          <w:bCs/>
          <w:sz w:val="24"/>
          <w:lang w:eastAsia="ja-JP"/>
        </w:rPr>
        <w:t>11.9.3.1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431E69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C70A1" w:rsidRPr="00AC70A1">
        <w:rPr>
          <w:rFonts w:ascii="Arial" w:hAnsi="Arial" w:cs="Arial"/>
          <w:b/>
          <w:bCs/>
          <w:sz w:val="24"/>
        </w:rPr>
        <w:t>Closing the open issues on NR Conditional Handover preparation phase</w:t>
      </w:r>
    </w:p>
    <w:p w14:paraId="1F147C23" w14:textId="2CC58965"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3F2231" w:rsidRPr="003F2231">
        <w:rPr>
          <w:rFonts w:ascii="Arial" w:hAnsi="Arial" w:cs="Arial"/>
          <w:b/>
          <w:bCs/>
          <w:sz w:val="24"/>
        </w:rPr>
        <w:t>NR_Mob_enh</w:t>
      </w:r>
      <w:proofErr w:type="spellEnd"/>
      <w:r w:rsidR="003F2231" w:rsidRPr="003F2231">
        <w:rPr>
          <w:rFonts w:ascii="Arial" w:hAnsi="Arial" w:cs="Arial"/>
          <w:b/>
          <w:bCs/>
          <w:sz w:val="24"/>
        </w:rPr>
        <w:t>-Core</w:t>
      </w:r>
      <w:r w:rsidRPr="00112F1A">
        <w:rPr>
          <w:rFonts w:ascii="Arial" w:hAnsi="Arial" w:cs="Arial"/>
          <w:b/>
          <w:bCs/>
          <w:sz w:val="24"/>
        </w:rPr>
        <w:t xml:space="preserve"> </w:t>
      </w:r>
      <w:r>
        <w:rPr>
          <w:rFonts w:ascii="Arial" w:hAnsi="Arial" w:cs="Arial"/>
          <w:b/>
          <w:bCs/>
          <w:sz w:val="24"/>
        </w:rPr>
        <w:t>- Release 1</w:t>
      </w:r>
      <w:r w:rsidR="00094568">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3928EC39" w:rsidR="00A209D6" w:rsidRDefault="0052404D" w:rsidP="00A209D6">
      <w:r>
        <w:t>Conditional Handover for NR has been discussed at RAN2#105bis and the following agreements have been made</w:t>
      </w:r>
      <w:r w:rsidR="00A530EA">
        <w:t xml:space="preserve"> </w:t>
      </w:r>
      <w:r w:rsidR="00A530EA">
        <w:fldChar w:fldCharType="begin"/>
      </w:r>
      <w:r w:rsidR="00A530EA">
        <w:instrText xml:space="preserve"> REF _Ref7601555 \r \h </w:instrText>
      </w:r>
      <w:r w:rsidR="00A530EA">
        <w:fldChar w:fldCharType="separate"/>
      </w:r>
      <w:r w:rsidR="00A530EA">
        <w:t>[1]</w:t>
      </w:r>
      <w:r w:rsidR="00A530EA">
        <w:fldChar w:fldCharType="end"/>
      </w:r>
      <w:r>
        <w:t>:</w:t>
      </w:r>
    </w:p>
    <w:tbl>
      <w:tblPr>
        <w:tblStyle w:val="TableGrid"/>
        <w:tblW w:w="0" w:type="auto"/>
        <w:tblLook w:val="04A0" w:firstRow="1" w:lastRow="0" w:firstColumn="1" w:lastColumn="0" w:noHBand="0" w:noVBand="1"/>
      </w:tblPr>
      <w:tblGrid>
        <w:gridCol w:w="9631"/>
      </w:tblGrid>
      <w:tr w:rsidR="003A1632" w14:paraId="7AF9E0C2" w14:textId="77777777" w:rsidTr="003A1632">
        <w:tc>
          <w:tcPr>
            <w:tcW w:w="9631" w:type="dxa"/>
          </w:tcPr>
          <w:p w14:paraId="56CC275F" w14:textId="77777777" w:rsidR="00195AB1" w:rsidRPr="00195AB1" w:rsidRDefault="00195AB1" w:rsidP="00195AB1">
            <w:pPr>
              <w:rPr>
                <w:lang w:val="en-US"/>
              </w:rPr>
            </w:pPr>
            <w:r w:rsidRPr="00195AB1">
              <w:t>0: CHO is introduced in NR to solve robustness/reliability issue.</w:t>
            </w:r>
          </w:p>
          <w:p w14:paraId="710F4FBC" w14:textId="77777777" w:rsidR="00195AB1" w:rsidRPr="00195AB1" w:rsidRDefault="00195AB1" w:rsidP="00195AB1">
            <w:pPr>
              <w:rPr>
                <w:lang w:val="en-US"/>
              </w:rPr>
            </w:pPr>
            <w:proofErr w:type="gramStart"/>
            <w:r w:rsidRPr="00195AB1">
              <w:t>1:The</w:t>
            </w:r>
            <w:proofErr w:type="gramEnd"/>
            <w:r w:rsidRPr="00195AB1">
              <w:t xml:space="preserve"> LTE agreements below are applicable for NR: </w:t>
            </w:r>
          </w:p>
          <w:p w14:paraId="7372D289" w14:textId="77777777" w:rsidR="00195AB1" w:rsidRPr="00195AB1" w:rsidRDefault="00195AB1" w:rsidP="00195AB1">
            <w:pPr>
              <w:rPr>
                <w:lang w:val="en-US"/>
              </w:rPr>
            </w:pPr>
            <w:r w:rsidRPr="00195AB1">
              <w:t xml:space="preserve">a/ CHO is defined as UE having network configuration for initiating access to a target cell based on configured condition(s). </w:t>
            </w:r>
          </w:p>
          <w:p w14:paraId="1703B9B3" w14:textId="77777777" w:rsidR="00195AB1" w:rsidRPr="00195AB1" w:rsidRDefault="00195AB1" w:rsidP="00195AB1">
            <w:pPr>
              <w:rPr>
                <w:lang w:val="en-US"/>
              </w:rPr>
            </w:pPr>
            <w:r w:rsidRPr="00195AB1">
              <w:t>b/ Usage of conditional handover is decided by network. UE evaluates when the condition is valid.</w:t>
            </w:r>
          </w:p>
          <w:p w14:paraId="04F7B91C" w14:textId="77777777" w:rsidR="00195AB1" w:rsidRPr="00195AB1" w:rsidRDefault="00195AB1" w:rsidP="00195AB1">
            <w:pPr>
              <w:rPr>
                <w:lang w:val="en-US"/>
              </w:rPr>
            </w:pPr>
            <w:r w:rsidRPr="00195AB1">
              <w:t>c/ Support configuration of one or more candidate cells for conditional handover;</w:t>
            </w:r>
          </w:p>
          <w:p w14:paraId="2E8519AD" w14:textId="77777777" w:rsidR="00195AB1" w:rsidRPr="00A530EA" w:rsidRDefault="00195AB1" w:rsidP="00195AB1">
            <w:pPr>
              <w:rPr>
                <w:highlight w:val="yellow"/>
                <w:lang w:val="en-US"/>
              </w:rPr>
            </w:pPr>
            <w:r w:rsidRPr="00A530EA">
              <w:rPr>
                <w:highlight w:val="yellow"/>
              </w:rPr>
              <w:t>=&gt;</w:t>
            </w:r>
            <w:r w:rsidRPr="00A530EA">
              <w:rPr>
                <w:highlight w:val="yellow"/>
              </w:rPr>
              <w:tab/>
              <w:t>FFS how many candidate cells (UE and network impacts should be clarified).</w:t>
            </w:r>
          </w:p>
          <w:p w14:paraId="4336C5A8" w14:textId="77777777" w:rsidR="00195AB1" w:rsidRPr="00195AB1" w:rsidRDefault="00195AB1" w:rsidP="00195AB1">
            <w:pPr>
              <w:rPr>
                <w:lang w:val="en-US"/>
              </w:rPr>
            </w:pPr>
            <w:r w:rsidRPr="00A530EA">
              <w:rPr>
                <w:highlight w:val="yellow"/>
              </w:rPr>
              <w:t>=&gt;</w:t>
            </w:r>
            <w:r w:rsidRPr="00A530EA">
              <w:rPr>
                <w:highlight w:val="yellow"/>
              </w:rPr>
              <w:tab/>
              <w:t>FFS how to include the CHO conditions in UE configuration</w:t>
            </w:r>
          </w:p>
          <w:p w14:paraId="2749A6A2" w14:textId="77777777" w:rsidR="00195AB1" w:rsidRPr="00195AB1" w:rsidRDefault="00195AB1" w:rsidP="00195AB1">
            <w:pPr>
              <w:rPr>
                <w:lang w:val="en-US"/>
              </w:rPr>
            </w:pPr>
            <w:r w:rsidRPr="00195AB1">
              <w:t>d/ The baseline operation for Conditional HO procedure assumes HO command type of message contains HO triggering condition(s) and dedicated RRC configuration(s). UE accesses the prepared target when the relevant condition is met.</w:t>
            </w:r>
          </w:p>
          <w:p w14:paraId="4F8A5E35" w14:textId="77777777" w:rsidR="00195AB1" w:rsidRPr="00195AB1" w:rsidRDefault="00195AB1" w:rsidP="00195AB1">
            <w:pPr>
              <w:rPr>
                <w:lang w:val="en-US"/>
              </w:rPr>
            </w:pPr>
            <w:r w:rsidRPr="00195AB1">
              <w:t xml:space="preserve">e/ The baseline operation for Conditional HO assumes the source RAN remains responsible for RRC until UE successfully sends RRC Reconfiguration Complete message to target RAN. </w:t>
            </w:r>
          </w:p>
          <w:p w14:paraId="6D57FC74" w14:textId="77777777" w:rsidR="00EB51F1" w:rsidRPr="00EB51F1" w:rsidRDefault="00EB51F1" w:rsidP="00EB51F1">
            <w:pPr>
              <w:rPr>
                <w:lang w:val="en-US"/>
              </w:rPr>
            </w:pPr>
            <w:r w:rsidRPr="00EB51F1">
              <w:t xml:space="preserve">f/ </w:t>
            </w:r>
            <w:r w:rsidRPr="00EB51F1">
              <w:tab/>
              <w:t>RAN2 assumes late packet forwarding (i.e. not done immediately when the CHO target cells become prepared) could be suitable for CHO when there are multiple candidate target cells. Early packet forwarding can also be considered. Detailed decisions require RAN3 study.</w:t>
            </w:r>
          </w:p>
          <w:p w14:paraId="637CEBDE" w14:textId="77777777" w:rsidR="00EB51F1" w:rsidRPr="00EB51F1" w:rsidRDefault="00EB51F1" w:rsidP="00EB51F1">
            <w:pPr>
              <w:rPr>
                <w:lang w:val="en-US"/>
              </w:rPr>
            </w:pPr>
            <w:r w:rsidRPr="00EB51F1">
              <w:t>2 Cell level quality is used as baseline for CHO execution condition;</w:t>
            </w:r>
          </w:p>
          <w:p w14:paraId="4A719C0F" w14:textId="77777777" w:rsidR="00EB51F1" w:rsidRPr="00EB51F1" w:rsidRDefault="00EB51F1" w:rsidP="00EB51F1">
            <w:pPr>
              <w:rPr>
                <w:lang w:val="en-US"/>
              </w:rPr>
            </w:pPr>
            <w:r w:rsidRPr="00EB51F1">
              <w:t>FFS: on whether beam quality is used as input for CHO execution condition.</w:t>
            </w:r>
          </w:p>
          <w:p w14:paraId="037CC152" w14:textId="77777777" w:rsidR="00EB51F1" w:rsidRPr="00EB51F1" w:rsidRDefault="00EB51F1" w:rsidP="00EB51F1">
            <w:pPr>
              <w:rPr>
                <w:lang w:val="en-US"/>
              </w:rPr>
            </w:pPr>
            <w:r w:rsidRPr="00EB51F1">
              <w:t>3 RS type SSB can be used</w:t>
            </w:r>
          </w:p>
          <w:p w14:paraId="64112068" w14:textId="77777777" w:rsidR="00EB51F1" w:rsidRPr="00EB51F1" w:rsidRDefault="00EB51F1" w:rsidP="00EB51F1">
            <w:pPr>
              <w:rPr>
                <w:lang w:val="en-US"/>
              </w:rPr>
            </w:pPr>
            <w:r w:rsidRPr="00EB51F1">
              <w:t>FFS: CSI-RS, use of more than one RS type</w:t>
            </w:r>
          </w:p>
          <w:p w14:paraId="001529C6" w14:textId="77777777" w:rsidR="00EB51F1" w:rsidRPr="00EB51F1" w:rsidRDefault="00EB51F1" w:rsidP="00EB51F1">
            <w:pPr>
              <w:rPr>
                <w:lang w:val="en-US"/>
              </w:rPr>
            </w:pPr>
            <w:r w:rsidRPr="00EB51F1">
              <w:t xml:space="preserve">4 </w:t>
            </w:r>
            <w:proofErr w:type="spellStart"/>
            <w:r w:rsidRPr="00EB51F1">
              <w:t>Ax</w:t>
            </w:r>
            <w:proofErr w:type="spellEnd"/>
            <w:r w:rsidRPr="00EB51F1">
              <w:t xml:space="preserve"> events (entry condition) are used for CHO execution condition and A3/5 as baseline</w:t>
            </w:r>
          </w:p>
          <w:p w14:paraId="03700198" w14:textId="6728BB57" w:rsidR="003A1632" w:rsidRPr="003A1632" w:rsidRDefault="00EB51F1" w:rsidP="00A209D6">
            <w:pPr>
              <w:rPr>
                <w:lang w:val="en-US"/>
              </w:rPr>
            </w:pPr>
            <w:r w:rsidRPr="00EB51F1">
              <w:t>FFS: on other events</w:t>
            </w:r>
          </w:p>
        </w:tc>
      </w:tr>
    </w:tbl>
    <w:p w14:paraId="62A5C3A7" w14:textId="403491D5" w:rsidR="003A1632" w:rsidRDefault="003A1632" w:rsidP="00A209D6"/>
    <w:p w14:paraId="3BCB6CC0" w14:textId="45112909" w:rsidR="0052404D" w:rsidRPr="006E13D1" w:rsidRDefault="0052404D" w:rsidP="00A209D6">
      <w:r>
        <w:t xml:space="preserve">The goal of this paper is to resolve the </w:t>
      </w:r>
      <w:r w:rsidR="00A530EA">
        <w:t xml:space="preserve">CHO preparation related </w:t>
      </w:r>
      <w:r>
        <w:t>FFFs</w:t>
      </w:r>
      <w:r w:rsidR="00A530EA">
        <w:t>,</w:t>
      </w:r>
      <w:r>
        <w:t xml:space="preserve"> listed at RAN2#105bis and visible in the </w:t>
      </w:r>
      <w:proofErr w:type="gramStart"/>
      <w:r>
        <w:t>aforementioned table</w:t>
      </w:r>
      <w:proofErr w:type="gramEnd"/>
      <w:r>
        <w:t>.</w:t>
      </w:r>
    </w:p>
    <w:p w14:paraId="11CCE63F" w14:textId="77777777" w:rsidR="003A1632" w:rsidRDefault="003A1632" w:rsidP="003A1632">
      <w:pPr>
        <w:pStyle w:val="Heading1"/>
      </w:pPr>
      <w:r>
        <w:lastRenderedPageBreak/>
        <w:t>2</w:t>
      </w:r>
      <w:r w:rsidRPr="006E13D1">
        <w:tab/>
      </w:r>
      <w:r>
        <w:t>Discussion</w:t>
      </w:r>
    </w:p>
    <w:p w14:paraId="7CA9CC36" w14:textId="5E056C4A" w:rsidR="003A1632" w:rsidRDefault="003A1632" w:rsidP="003A1632">
      <w:pPr>
        <w:pStyle w:val="Heading2"/>
      </w:pPr>
      <w:r>
        <w:t>2.1</w:t>
      </w:r>
      <w:r>
        <w:tab/>
      </w:r>
      <w:r w:rsidR="00EB51F1">
        <w:t>Number of Candidate Cells</w:t>
      </w:r>
    </w:p>
    <w:p w14:paraId="39258A4D" w14:textId="460B5E22" w:rsidR="0043791B" w:rsidRDefault="00F50D95" w:rsidP="00EB51F1">
      <w:r>
        <w:t xml:space="preserve">The maximum number of allowed target cells should be at least as large as the number that will be </w:t>
      </w:r>
      <w:r w:rsidR="008E5FCC">
        <w:t xml:space="preserve">eventually </w:t>
      </w:r>
      <w:r>
        <w:t>agreed in LTE</w:t>
      </w:r>
      <w:r w:rsidR="008E5FCC">
        <w:t xml:space="preserve"> (i.e. likely </w:t>
      </w:r>
      <w:r w:rsidR="003E45AF">
        <w:t xml:space="preserve">no sooner than </w:t>
      </w:r>
      <w:r w:rsidR="008E5FCC">
        <w:t xml:space="preserve">in </w:t>
      </w:r>
      <w:r w:rsidR="003E45AF">
        <w:t>LTE</w:t>
      </w:r>
      <w:r w:rsidR="008E5FCC">
        <w:t xml:space="preserve"> Stage 3 discussions)</w:t>
      </w:r>
      <w:r>
        <w:t>. In FR1 there is no need to increase th</w:t>
      </w:r>
      <w:r w:rsidR="008E5FCC">
        <w:t>is</w:t>
      </w:r>
      <w:r>
        <w:t xml:space="preserve"> number. It is often mentioned that in FR2 more targets are needed due to more abrupt changes in the channel. Whereas we certainly agree that there are more abrupt changes, this does not necessarily mean more candidate cells are visible at all. With </w:t>
      </w:r>
      <w:proofErr w:type="spellStart"/>
      <w:r>
        <w:t>analog</w:t>
      </w:r>
      <w:proofErr w:type="spellEnd"/>
      <w:r>
        <w:t xml:space="preserve"> beamforming, there is less interference and thus UE indeed would not be covered by interference</w:t>
      </w:r>
      <w:r w:rsidR="00F83DC9">
        <w:t xml:space="preserve"> from distant cells</w:t>
      </w:r>
      <w:r>
        <w:t xml:space="preserve">, but </w:t>
      </w:r>
      <w:r w:rsidR="00631467">
        <w:t xml:space="preserve">it is not very likely that distant cells would have </w:t>
      </w:r>
      <w:proofErr w:type="gramStart"/>
      <w:r w:rsidR="00631467">
        <w:t>sufficient</w:t>
      </w:r>
      <w:proofErr w:type="gramEnd"/>
      <w:r w:rsidR="00631467">
        <w:t xml:space="preserve"> coverage (</w:t>
      </w:r>
      <w:proofErr w:type="spellStart"/>
      <w:r w:rsidR="00631467">
        <w:t>analog</w:t>
      </w:r>
      <w:proofErr w:type="spellEnd"/>
      <w:r w:rsidR="00631467">
        <w:t xml:space="preserve"> beamforming </w:t>
      </w:r>
      <w:r w:rsidR="0010300D">
        <w:t xml:space="preserve">is </w:t>
      </w:r>
      <w:r w:rsidR="00631467">
        <w:t>typically used when coverage is critical). Furthermore, with less interference, also the mobility challenges become less critical. Hence, e</w:t>
      </w:r>
      <w:r>
        <w:t>ven with tight beams</w:t>
      </w:r>
      <w:r w:rsidR="00631467">
        <w:t xml:space="preserve"> and </w:t>
      </w:r>
      <w:proofErr w:type="spellStart"/>
      <w:r w:rsidR="00631467">
        <w:t>analog</w:t>
      </w:r>
      <w:proofErr w:type="spellEnd"/>
      <w:r w:rsidR="00631467">
        <w:t xml:space="preserve"> beamforming</w:t>
      </w:r>
      <w:r>
        <w:t>, it is hard to sketch scenarios where a single UE would “see” m</w:t>
      </w:r>
      <w:r w:rsidR="00F83DC9">
        <w:t>any</w:t>
      </w:r>
      <w:r>
        <w:t xml:space="preserve"> more than </w:t>
      </w:r>
      <w:r w:rsidR="00631467">
        <w:t>2</w:t>
      </w:r>
      <w:r>
        <w:t xml:space="preserve">-4 relevant </w:t>
      </w:r>
      <w:proofErr w:type="spellStart"/>
      <w:r w:rsidR="00631467">
        <w:t>neighboring</w:t>
      </w:r>
      <w:proofErr w:type="spellEnd"/>
      <w:r w:rsidR="00631467">
        <w:t xml:space="preserve"> cells</w:t>
      </w:r>
      <w:r>
        <w:t xml:space="preserve">. </w:t>
      </w:r>
      <w:r w:rsidR="0010300D">
        <w:t>As a result,</w:t>
      </w:r>
      <w:r w:rsidR="00631467">
        <w:t xml:space="preserve"> we believe that</w:t>
      </w:r>
      <w:r w:rsidR="0043791B">
        <w:t xml:space="preserve"> there is no need to make this </w:t>
      </w:r>
      <w:r w:rsidR="0010300D">
        <w:t xml:space="preserve">maximum </w:t>
      </w:r>
      <w:r w:rsidR="0043791B">
        <w:t xml:space="preserve">number </w:t>
      </w:r>
      <w:r w:rsidR="00631467">
        <w:t xml:space="preserve">of </w:t>
      </w:r>
      <w:r w:rsidR="0010300D">
        <w:t>candidate</w:t>
      </w:r>
      <w:r w:rsidR="00631467">
        <w:t xml:space="preserve"> target cells </w:t>
      </w:r>
      <w:r w:rsidR="0043791B">
        <w:t>much larger than in LTE.</w:t>
      </w:r>
    </w:p>
    <w:p w14:paraId="789EB277" w14:textId="52114D84" w:rsidR="0043791B" w:rsidRPr="0043791B" w:rsidRDefault="0043791B" w:rsidP="00EB51F1">
      <w:pPr>
        <w:rPr>
          <w:b/>
        </w:rPr>
      </w:pPr>
      <w:r w:rsidRPr="0043791B">
        <w:rPr>
          <w:b/>
        </w:rPr>
        <w:t xml:space="preserve">Proposal </w:t>
      </w:r>
      <w:r w:rsidR="0010300D">
        <w:rPr>
          <w:b/>
        </w:rPr>
        <w:t>1</w:t>
      </w:r>
      <w:r w:rsidRPr="0043791B">
        <w:rPr>
          <w:b/>
        </w:rPr>
        <w:t xml:space="preserve">: The </w:t>
      </w:r>
      <w:r w:rsidR="0010300D">
        <w:rPr>
          <w:b/>
        </w:rPr>
        <w:t xml:space="preserve">maximum </w:t>
      </w:r>
      <w:r w:rsidRPr="0043791B">
        <w:rPr>
          <w:b/>
        </w:rPr>
        <w:t>number of candidate</w:t>
      </w:r>
      <w:r w:rsidR="0010300D">
        <w:rPr>
          <w:b/>
        </w:rPr>
        <w:t xml:space="preserve"> target</w:t>
      </w:r>
      <w:r w:rsidRPr="0043791B">
        <w:rPr>
          <w:b/>
        </w:rPr>
        <w:t xml:space="preserve"> cells should not be smaller </w:t>
      </w:r>
      <w:r w:rsidR="0010300D">
        <w:rPr>
          <w:b/>
        </w:rPr>
        <w:t>than</w:t>
      </w:r>
      <w:r w:rsidRPr="0043791B">
        <w:rPr>
          <w:b/>
        </w:rPr>
        <w:t xml:space="preserve"> the number that will be agreed in LTE</w:t>
      </w:r>
      <w:r w:rsidR="0010300D">
        <w:rPr>
          <w:b/>
        </w:rPr>
        <w:t xml:space="preserve">. However, </w:t>
      </w:r>
      <w:r w:rsidRPr="0043791B">
        <w:rPr>
          <w:b/>
        </w:rPr>
        <w:t>there is also no need to make it significantly larger.</w:t>
      </w:r>
    </w:p>
    <w:p w14:paraId="396E9E0B" w14:textId="63262C62" w:rsidR="00EB51F1" w:rsidRDefault="00EB51F1" w:rsidP="00EB51F1">
      <w:pPr>
        <w:pStyle w:val="Heading2"/>
      </w:pPr>
      <w:r>
        <w:t>2.2</w:t>
      </w:r>
      <w:r>
        <w:tab/>
      </w:r>
      <w:r w:rsidR="00F25F9F">
        <w:t>Configuration of CHO execution condition</w:t>
      </w:r>
    </w:p>
    <w:p w14:paraId="63B1EFB9" w14:textId="75F2B412" w:rsidR="00EB51F1" w:rsidRDefault="00F25F9F" w:rsidP="00EB51F1">
      <w:r>
        <w:t>For the exact configuration of the CHO execution condition</w:t>
      </w:r>
      <w:r w:rsidR="000375AF">
        <w:t xml:space="preserve">, we don’t believe that there is a reason to deviate from the </w:t>
      </w:r>
      <w:r>
        <w:t>solution</w:t>
      </w:r>
      <w:r w:rsidR="000375AF">
        <w:t xml:space="preserve"> that will be agreed in LTE. So</w:t>
      </w:r>
      <w:r>
        <w:t>,</w:t>
      </w:r>
      <w:r w:rsidR="000375AF">
        <w:t xml:space="preserve"> we propose to finalize the discussion in LTE and then adopt the agreement in NR</w:t>
      </w:r>
      <w:r>
        <w:t xml:space="preserve"> (e.g. the source appends the condition to the</w:t>
      </w:r>
      <w:r w:rsidR="008964D1">
        <w:t xml:space="preserve"> NR</w:t>
      </w:r>
      <w:r w:rsidR="00893C15">
        <w:t>’s</w:t>
      </w:r>
      <w:r w:rsidR="008964D1">
        <w:t xml:space="preserve"> equivalent of</w:t>
      </w:r>
      <w:r>
        <w:t xml:space="preserve"> </w:t>
      </w:r>
      <w:proofErr w:type="spellStart"/>
      <w:r w:rsidRPr="00AC70A1">
        <w:rPr>
          <w:i/>
        </w:rPr>
        <w:t>mobility</w:t>
      </w:r>
      <w:r w:rsidR="008964D1" w:rsidRPr="00AC70A1">
        <w:rPr>
          <w:i/>
        </w:rPr>
        <w:t>C</w:t>
      </w:r>
      <w:r w:rsidRPr="00AC70A1">
        <w:rPr>
          <w:i/>
        </w:rPr>
        <w:t>ontrol</w:t>
      </w:r>
      <w:r w:rsidR="008964D1" w:rsidRPr="00AC70A1">
        <w:rPr>
          <w:i/>
        </w:rPr>
        <w:t>I</w:t>
      </w:r>
      <w:r w:rsidRPr="00AC70A1">
        <w:rPr>
          <w:i/>
        </w:rPr>
        <w:t>nfo</w:t>
      </w:r>
      <w:proofErr w:type="spellEnd"/>
      <w:r>
        <w:t xml:space="preserve"> in the RRC connection reconfiguration)</w:t>
      </w:r>
      <w:r w:rsidR="000375AF">
        <w:t>.</w:t>
      </w:r>
      <w:r w:rsidR="00893C15">
        <w:t xml:space="preserve"> CHO is largely </w:t>
      </w:r>
      <w:proofErr w:type="gramStart"/>
      <w:r w:rsidR="00893C15">
        <w:t>similar to</w:t>
      </w:r>
      <w:proofErr w:type="gramEnd"/>
      <w:r w:rsidR="00893C15">
        <w:t xml:space="preserve"> the legacy HO procedure, so it is justified to reuse the existing Information Elements (IEs), message structures, etc. to provide the UE with the HO specific configuration. </w:t>
      </w:r>
    </w:p>
    <w:p w14:paraId="64F41581" w14:textId="7AF31158" w:rsidR="00EB51F1" w:rsidRPr="00A530EA" w:rsidRDefault="003E0021" w:rsidP="00A530EA">
      <w:r w:rsidRPr="0043791B">
        <w:rPr>
          <w:b/>
        </w:rPr>
        <w:t xml:space="preserve">Proposal </w:t>
      </w:r>
      <w:r w:rsidR="008964D1">
        <w:rPr>
          <w:b/>
        </w:rPr>
        <w:t>2</w:t>
      </w:r>
      <w:r w:rsidRPr="0043791B">
        <w:rPr>
          <w:b/>
        </w:rPr>
        <w:t>:</w:t>
      </w:r>
      <w:r w:rsidR="000E627B">
        <w:rPr>
          <w:b/>
        </w:rPr>
        <w:t xml:space="preserve"> NR shall adopt the LTE solution for the exact </w:t>
      </w:r>
      <w:r w:rsidR="00F25F9F">
        <w:rPr>
          <w:b/>
        </w:rPr>
        <w:t xml:space="preserve">configuration </w:t>
      </w:r>
      <w:r w:rsidR="000E627B">
        <w:rPr>
          <w:b/>
        </w:rPr>
        <w:t>of the CHO execution condition, once it is agreed.</w:t>
      </w:r>
    </w:p>
    <w:p w14:paraId="6BAA4D94" w14:textId="088C8302" w:rsidR="00F46628" w:rsidRDefault="00F46628" w:rsidP="00F46628">
      <w:pPr>
        <w:pStyle w:val="Heading1"/>
      </w:pPr>
      <w:r>
        <w:t>3</w:t>
      </w:r>
      <w:r w:rsidRPr="006E13D1">
        <w:tab/>
      </w:r>
      <w:r w:rsidR="00DB5608">
        <w:t>Conclusions</w:t>
      </w:r>
    </w:p>
    <w:p w14:paraId="218E3321" w14:textId="74981720" w:rsidR="00F46628" w:rsidRDefault="00DB5608" w:rsidP="00F46628">
      <w:r>
        <w:t>This paper discussed unresolved CHO</w:t>
      </w:r>
      <w:r w:rsidR="00893C15">
        <w:t xml:space="preserve"> preparation</w:t>
      </w:r>
      <w:r>
        <w:t xml:space="preserve"> aspects for NR. </w:t>
      </w:r>
      <w:proofErr w:type="gramStart"/>
      <w:r>
        <w:t>In the course of</w:t>
      </w:r>
      <w:proofErr w:type="gramEnd"/>
      <w:r>
        <w:t xml:space="preserve"> the </w:t>
      </w:r>
      <w:proofErr w:type="spellStart"/>
      <w:r>
        <w:t>TDoc</w:t>
      </w:r>
      <w:proofErr w:type="spellEnd"/>
      <w:r>
        <w:t>, the following</w:t>
      </w:r>
      <w:r w:rsidR="002820AE">
        <w:t xml:space="preserve"> proposals have been made:</w:t>
      </w:r>
    </w:p>
    <w:p w14:paraId="26A0D8F9" w14:textId="77777777" w:rsidR="00B84B52" w:rsidRPr="0043791B" w:rsidRDefault="00B84B52" w:rsidP="00B84B52">
      <w:pPr>
        <w:rPr>
          <w:b/>
        </w:rPr>
      </w:pPr>
      <w:r w:rsidRPr="0043791B">
        <w:rPr>
          <w:b/>
        </w:rPr>
        <w:t xml:space="preserve">Proposal </w:t>
      </w:r>
      <w:r>
        <w:rPr>
          <w:b/>
        </w:rPr>
        <w:t>1</w:t>
      </w:r>
      <w:r w:rsidRPr="0043791B">
        <w:rPr>
          <w:b/>
        </w:rPr>
        <w:t xml:space="preserve">: The </w:t>
      </w:r>
      <w:r>
        <w:rPr>
          <w:b/>
        </w:rPr>
        <w:t xml:space="preserve">maximum </w:t>
      </w:r>
      <w:r w:rsidRPr="0043791B">
        <w:rPr>
          <w:b/>
        </w:rPr>
        <w:t>number of candidate</w:t>
      </w:r>
      <w:r>
        <w:rPr>
          <w:b/>
        </w:rPr>
        <w:t xml:space="preserve"> target</w:t>
      </w:r>
      <w:r w:rsidRPr="0043791B">
        <w:rPr>
          <w:b/>
        </w:rPr>
        <w:t xml:space="preserve"> cells should not be smaller </w:t>
      </w:r>
      <w:r>
        <w:rPr>
          <w:b/>
        </w:rPr>
        <w:t>than</w:t>
      </w:r>
      <w:r w:rsidRPr="0043791B">
        <w:rPr>
          <w:b/>
        </w:rPr>
        <w:t xml:space="preserve"> the number that will be agreed in LTE</w:t>
      </w:r>
      <w:r>
        <w:rPr>
          <w:b/>
        </w:rPr>
        <w:t xml:space="preserve">. However, </w:t>
      </w:r>
      <w:r w:rsidRPr="0043791B">
        <w:rPr>
          <w:b/>
        </w:rPr>
        <w:t>there is also no need to make it significantly larger.</w:t>
      </w:r>
    </w:p>
    <w:p w14:paraId="733AA530" w14:textId="68FBBA1B" w:rsidR="002820AE" w:rsidRDefault="00B84B52" w:rsidP="00F46628">
      <w:r w:rsidRPr="0043791B">
        <w:rPr>
          <w:b/>
        </w:rPr>
        <w:t xml:space="preserve">Proposal </w:t>
      </w:r>
      <w:r>
        <w:rPr>
          <w:b/>
        </w:rPr>
        <w:t>2</w:t>
      </w:r>
      <w:r w:rsidRPr="0043791B">
        <w:rPr>
          <w:b/>
        </w:rPr>
        <w:t>:</w:t>
      </w:r>
      <w:r>
        <w:rPr>
          <w:b/>
        </w:rPr>
        <w:t xml:space="preserve"> NR shall adopt the LTE solution for the exact configuration of the CHO execution condition, once it is agreed.</w:t>
      </w:r>
    </w:p>
    <w:p w14:paraId="4DCC8F1A" w14:textId="77777777" w:rsidR="00F46628" w:rsidRPr="00F46628" w:rsidRDefault="00F46628" w:rsidP="00F46628">
      <w:pPr>
        <w:keepNext/>
        <w:keepLines/>
        <w:pBdr>
          <w:top w:val="single" w:sz="12" w:space="3" w:color="auto"/>
        </w:pBdr>
        <w:spacing w:before="240"/>
        <w:outlineLvl w:val="0"/>
        <w:rPr>
          <w:rFonts w:ascii="Arial" w:hAnsi="Arial"/>
          <w:sz w:val="36"/>
          <w:lang w:val="en-US"/>
        </w:rPr>
      </w:pPr>
      <w:r w:rsidRPr="00F46628">
        <w:rPr>
          <w:rFonts w:ascii="Arial" w:hAnsi="Arial"/>
          <w:sz w:val="36"/>
          <w:lang w:val="en-US"/>
        </w:rPr>
        <w:t>References</w:t>
      </w:r>
    </w:p>
    <w:p w14:paraId="3B9AC7DD" w14:textId="30C5A719" w:rsidR="00F46628" w:rsidRPr="00A530EA" w:rsidRDefault="00A530EA" w:rsidP="00A530EA">
      <w:pPr>
        <w:numPr>
          <w:ilvl w:val="0"/>
          <w:numId w:val="20"/>
        </w:numPr>
        <w:autoSpaceDE w:val="0"/>
        <w:autoSpaceDN w:val="0"/>
        <w:snapToGrid w:val="0"/>
        <w:spacing w:after="60"/>
        <w:jc w:val="both"/>
        <w:rPr>
          <w:rFonts w:eastAsia="SimSun"/>
          <w:lang w:eastAsia="zh-CN"/>
        </w:rPr>
      </w:pPr>
      <w:bookmarkStart w:id="1" w:name="_Ref7601555"/>
      <w:r w:rsidRPr="00A530EA">
        <w:rPr>
          <w:rFonts w:eastAsia="SimSun"/>
          <w:lang w:eastAsia="zh-CN"/>
        </w:rPr>
        <w:t>R2-1905501</w:t>
      </w:r>
      <w:r>
        <w:rPr>
          <w:rFonts w:eastAsia="SimSun"/>
          <w:lang w:eastAsia="zh-CN"/>
        </w:rPr>
        <w:t xml:space="preserve"> </w:t>
      </w:r>
      <w:r w:rsidRPr="00AC70A1">
        <w:rPr>
          <w:rFonts w:eastAsia="SimSun"/>
          <w:i/>
          <w:lang w:eastAsia="zh-CN"/>
        </w:rPr>
        <w:t>RAN2#105bis Meeting Report</w:t>
      </w:r>
      <w:r>
        <w:rPr>
          <w:rFonts w:eastAsia="SimSun"/>
          <w:lang w:eastAsia="zh-CN"/>
        </w:rPr>
        <w:t xml:space="preserve"> </w:t>
      </w:r>
      <w:r w:rsidRPr="00A530EA">
        <w:rPr>
          <w:rFonts w:eastAsia="SimSun"/>
          <w:lang w:eastAsia="zh-CN"/>
        </w:rPr>
        <w:t>3GPP TSG-RAN WG2 Meeting #106</w:t>
      </w:r>
      <w:r w:rsidRPr="00A530EA">
        <w:rPr>
          <w:rFonts w:eastAsia="SimSun"/>
          <w:lang w:eastAsia="zh-CN"/>
        </w:rPr>
        <w:tab/>
        <w:t>Reno, USA, 13 – 17 May 2019</w:t>
      </w:r>
      <w:bookmarkEnd w:id="1"/>
    </w:p>
    <w:p w14:paraId="6C44A52B" w14:textId="77777777" w:rsidR="00F46628" w:rsidRPr="0010300D" w:rsidRDefault="00F46628" w:rsidP="00AC70A1"/>
    <w:p w14:paraId="7619D991" w14:textId="6B02E372" w:rsidR="00F46628" w:rsidRPr="00EB51F1" w:rsidRDefault="00F46628" w:rsidP="00F46628"/>
    <w:sectPr w:rsidR="00F46628" w:rsidRPr="00EB51F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1A302" w14:textId="77777777" w:rsidR="005507B6" w:rsidRDefault="005507B6">
      <w:r>
        <w:separator/>
      </w:r>
    </w:p>
  </w:endnote>
  <w:endnote w:type="continuationSeparator" w:id="0">
    <w:p w14:paraId="2EBE6AF7" w14:textId="77777777" w:rsidR="005507B6" w:rsidRDefault="00550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3E3AC" w14:textId="77777777" w:rsidR="005507B6" w:rsidRDefault="005507B6">
      <w:r>
        <w:separator/>
      </w:r>
    </w:p>
  </w:footnote>
  <w:footnote w:type="continuationSeparator" w:id="0">
    <w:p w14:paraId="5BF0A614" w14:textId="77777777" w:rsidR="005507B6" w:rsidRDefault="00550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D93A3E"/>
    <w:multiLevelType w:val="hybridMultilevel"/>
    <w:tmpl w:val="F868760C"/>
    <w:lvl w:ilvl="0" w:tplc="A4D86D1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A00798"/>
    <w:multiLevelType w:val="hybridMultilevel"/>
    <w:tmpl w:val="FBCC45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9D6D46"/>
    <w:multiLevelType w:val="hybridMultilevel"/>
    <w:tmpl w:val="DBD296BE"/>
    <w:lvl w:ilvl="0" w:tplc="9CC8459E">
      <w:start w:val="1"/>
      <w:numFmt w:val="bullet"/>
      <w:lvlText w:val=""/>
      <w:lvlJc w:val="left"/>
      <w:pPr>
        <w:tabs>
          <w:tab w:val="num" w:pos="720"/>
        </w:tabs>
        <w:ind w:left="720" w:hanging="360"/>
      </w:pPr>
      <w:rPr>
        <w:rFonts w:ascii="Symbol" w:hAnsi="Symbol" w:hint="default"/>
      </w:rPr>
    </w:lvl>
    <w:lvl w:ilvl="1" w:tplc="0A48CF0C" w:tentative="1">
      <w:start w:val="1"/>
      <w:numFmt w:val="bullet"/>
      <w:lvlText w:val=""/>
      <w:lvlJc w:val="left"/>
      <w:pPr>
        <w:tabs>
          <w:tab w:val="num" w:pos="1440"/>
        </w:tabs>
        <w:ind w:left="1440" w:hanging="360"/>
      </w:pPr>
      <w:rPr>
        <w:rFonts w:ascii="Symbol" w:hAnsi="Symbol" w:hint="default"/>
      </w:rPr>
    </w:lvl>
    <w:lvl w:ilvl="2" w:tplc="97AE55F6" w:tentative="1">
      <w:start w:val="1"/>
      <w:numFmt w:val="bullet"/>
      <w:lvlText w:val=""/>
      <w:lvlJc w:val="left"/>
      <w:pPr>
        <w:tabs>
          <w:tab w:val="num" w:pos="2160"/>
        </w:tabs>
        <w:ind w:left="2160" w:hanging="360"/>
      </w:pPr>
      <w:rPr>
        <w:rFonts w:ascii="Symbol" w:hAnsi="Symbol" w:hint="default"/>
      </w:rPr>
    </w:lvl>
    <w:lvl w:ilvl="3" w:tplc="3086EF74" w:tentative="1">
      <w:start w:val="1"/>
      <w:numFmt w:val="bullet"/>
      <w:lvlText w:val=""/>
      <w:lvlJc w:val="left"/>
      <w:pPr>
        <w:tabs>
          <w:tab w:val="num" w:pos="2880"/>
        </w:tabs>
        <w:ind w:left="2880" w:hanging="360"/>
      </w:pPr>
      <w:rPr>
        <w:rFonts w:ascii="Symbol" w:hAnsi="Symbol" w:hint="default"/>
      </w:rPr>
    </w:lvl>
    <w:lvl w:ilvl="4" w:tplc="B44425B0" w:tentative="1">
      <w:start w:val="1"/>
      <w:numFmt w:val="bullet"/>
      <w:lvlText w:val=""/>
      <w:lvlJc w:val="left"/>
      <w:pPr>
        <w:tabs>
          <w:tab w:val="num" w:pos="3600"/>
        </w:tabs>
        <w:ind w:left="3600" w:hanging="360"/>
      </w:pPr>
      <w:rPr>
        <w:rFonts w:ascii="Symbol" w:hAnsi="Symbol" w:hint="default"/>
      </w:rPr>
    </w:lvl>
    <w:lvl w:ilvl="5" w:tplc="3C026EE0" w:tentative="1">
      <w:start w:val="1"/>
      <w:numFmt w:val="bullet"/>
      <w:lvlText w:val=""/>
      <w:lvlJc w:val="left"/>
      <w:pPr>
        <w:tabs>
          <w:tab w:val="num" w:pos="4320"/>
        </w:tabs>
        <w:ind w:left="4320" w:hanging="360"/>
      </w:pPr>
      <w:rPr>
        <w:rFonts w:ascii="Symbol" w:hAnsi="Symbol" w:hint="default"/>
      </w:rPr>
    </w:lvl>
    <w:lvl w:ilvl="6" w:tplc="F8708A24" w:tentative="1">
      <w:start w:val="1"/>
      <w:numFmt w:val="bullet"/>
      <w:lvlText w:val=""/>
      <w:lvlJc w:val="left"/>
      <w:pPr>
        <w:tabs>
          <w:tab w:val="num" w:pos="5040"/>
        </w:tabs>
        <w:ind w:left="5040" w:hanging="360"/>
      </w:pPr>
      <w:rPr>
        <w:rFonts w:ascii="Symbol" w:hAnsi="Symbol" w:hint="default"/>
      </w:rPr>
    </w:lvl>
    <w:lvl w:ilvl="7" w:tplc="FB06DD1C" w:tentative="1">
      <w:start w:val="1"/>
      <w:numFmt w:val="bullet"/>
      <w:lvlText w:val=""/>
      <w:lvlJc w:val="left"/>
      <w:pPr>
        <w:tabs>
          <w:tab w:val="num" w:pos="5760"/>
        </w:tabs>
        <w:ind w:left="5760" w:hanging="360"/>
      </w:pPr>
      <w:rPr>
        <w:rFonts w:ascii="Symbol" w:hAnsi="Symbol" w:hint="default"/>
      </w:rPr>
    </w:lvl>
    <w:lvl w:ilvl="8" w:tplc="3F74D08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54B7129"/>
    <w:multiLevelType w:val="hybridMultilevel"/>
    <w:tmpl w:val="87289C20"/>
    <w:lvl w:ilvl="0" w:tplc="671054D2">
      <w:start w:val="2"/>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6" w15:restartNumberingAfterBreak="0">
    <w:nsid w:val="258E0317"/>
    <w:multiLevelType w:val="hybridMultilevel"/>
    <w:tmpl w:val="7DC8DE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257167"/>
    <w:multiLevelType w:val="hybridMultilevel"/>
    <w:tmpl w:val="82D21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AD2FDB"/>
    <w:multiLevelType w:val="hybridMultilevel"/>
    <w:tmpl w:val="8A486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519F06A3"/>
    <w:multiLevelType w:val="hybridMultilevel"/>
    <w:tmpl w:val="954C05DA"/>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D3C1000"/>
    <w:multiLevelType w:val="hybridMultilevel"/>
    <w:tmpl w:val="4AFAC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E06013"/>
    <w:multiLevelType w:val="hybridMultilevel"/>
    <w:tmpl w:val="8A486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0E61EB"/>
    <w:multiLevelType w:val="hybridMultilevel"/>
    <w:tmpl w:val="D804D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102714"/>
    <w:multiLevelType w:val="hybridMultilevel"/>
    <w:tmpl w:val="9AE83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5F17F4"/>
    <w:multiLevelType w:val="hybridMultilevel"/>
    <w:tmpl w:val="3C168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11"/>
  </w:num>
  <w:num w:numId="7">
    <w:abstractNumId w:val="12"/>
  </w:num>
  <w:num w:numId="8">
    <w:abstractNumId w:val="2"/>
  </w:num>
  <w:num w:numId="9">
    <w:abstractNumId w:val="3"/>
  </w:num>
  <w:num w:numId="10">
    <w:abstractNumId w:val="15"/>
  </w:num>
  <w:num w:numId="11">
    <w:abstractNumId w:val="10"/>
  </w:num>
  <w:num w:numId="12">
    <w:abstractNumId w:val="4"/>
  </w:num>
  <w:num w:numId="13">
    <w:abstractNumId w:val="18"/>
  </w:num>
  <w:num w:numId="14">
    <w:abstractNumId w:val="9"/>
  </w:num>
  <w:num w:numId="15">
    <w:abstractNumId w:val="17"/>
  </w:num>
  <w:num w:numId="16">
    <w:abstractNumId w:val="16"/>
  </w:num>
  <w:num w:numId="17">
    <w:abstractNumId w:val="14"/>
  </w:num>
  <w:num w:numId="18">
    <w:abstractNumId w:val="6"/>
  </w:num>
  <w:num w:numId="19">
    <w:abstractNumId w:val="5"/>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4F9B"/>
    <w:rsid w:val="00033397"/>
    <w:rsid w:val="000375AF"/>
    <w:rsid w:val="00040095"/>
    <w:rsid w:val="00046697"/>
    <w:rsid w:val="000549FF"/>
    <w:rsid w:val="00067103"/>
    <w:rsid w:val="00073C9C"/>
    <w:rsid w:val="00080512"/>
    <w:rsid w:val="00090468"/>
    <w:rsid w:val="00094568"/>
    <w:rsid w:val="000B7BCF"/>
    <w:rsid w:val="000C522B"/>
    <w:rsid w:val="000C7779"/>
    <w:rsid w:val="000D58AB"/>
    <w:rsid w:val="000E627B"/>
    <w:rsid w:val="0010300D"/>
    <w:rsid w:val="00112F1A"/>
    <w:rsid w:val="00124A0F"/>
    <w:rsid w:val="00137D82"/>
    <w:rsid w:val="00145075"/>
    <w:rsid w:val="00172F81"/>
    <w:rsid w:val="001741A0"/>
    <w:rsid w:val="00175FA0"/>
    <w:rsid w:val="00194CD0"/>
    <w:rsid w:val="00195AB1"/>
    <w:rsid w:val="001B175C"/>
    <w:rsid w:val="001B49C9"/>
    <w:rsid w:val="001C4F79"/>
    <w:rsid w:val="001C59D1"/>
    <w:rsid w:val="001E7306"/>
    <w:rsid w:val="001F168B"/>
    <w:rsid w:val="001F7831"/>
    <w:rsid w:val="00204045"/>
    <w:rsid w:val="0020712B"/>
    <w:rsid w:val="0022606D"/>
    <w:rsid w:val="00231728"/>
    <w:rsid w:val="00233D62"/>
    <w:rsid w:val="002610D8"/>
    <w:rsid w:val="0027100C"/>
    <w:rsid w:val="002747EC"/>
    <w:rsid w:val="002820AE"/>
    <w:rsid w:val="002855BF"/>
    <w:rsid w:val="00297797"/>
    <w:rsid w:val="002D5702"/>
    <w:rsid w:val="002D6B03"/>
    <w:rsid w:val="002F0D22"/>
    <w:rsid w:val="003143D8"/>
    <w:rsid w:val="003172DC"/>
    <w:rsid w:val="00325AE3"/>
    <w:rsid w:val="00326069"/>
    <w:rsid w:val="00353584"/>
    <w:rsid w:val="0035462D"/>
    <w:rsid w:val="00364B41"/>
    <w:rsid w:val="00367045"/>
    <w:rsid w:val="0038092C"/>
    <w:rsid w:val="00383096"/>
    <w:rsid w:val="003A0122"/>
    <w:rsid w:val="003A1632"/>
    <w:rsid w:val="003A41EF"/>
    <w:rsid w:val="003A700A"/>
    <w:rsid w:val="003B40AD"/>
    <w:rsid w:val="003C3B89"/>
    <w:rsid w:val="003C4E37"/>
    <w:rsid w:val="003E0021"/>
    <w:rsid w:val="003E16BE"/>
    <w:rsid w:val="003E45AF"/>
    <w:rsid w:val="003F2231"/>
    <w:rsid w:val="003F4E28"/>
    <w:rsid w:val="004006E8"/>
    <w:rsid w:val="00401855"/>
    <w:rsid w:val="004204C4"/>
    <w:rsid w:val="004208E9"/>
    <w:rsid w:val="00431893"/>
    <w:rsid w:val="00434F5B"/>
    <w:rsid w:val="0043791B"/>
    <w:rsid w:val="00440C23"/>
    <w:rsid w:val="00443146"/>
    <w:rsid w:val="00465587"/>
    <w:rsid w:val="00472E93"/>
    <w:rsid w:val="00477455"/>
    <w:rsid w:val="004A1F7B"/>
    <w:rsid w:val="004C1AF0"/>
    <w:rsid w:val="004C44D2"/>
    <w:rsid w:val="004D1A23"/>
    <w:rsid w:val="004D3578"/>
    <w:rsid w:val="004D380D"/>
    <w:rsid w:val="004D693F"/>
    <w:rsid w:val="004E213A"/>
    <w:rsid w:val="004F6DC0"/>
    <w:rsid w:val="00503171"/>
    <w:rsid w:val="00506C28"/>
    <w:rsid w:val="00513308"/>
    <w:rsid w:val="005145D5"/>
    <w:rsid w:val="0052404D"/>
    <w:rsid w:val="00526BB1"/>
    <w:rsid w:val="00534DA0"/>
    <w:rsid w:val="005373C6"/>
    <w:rsid w:val="00543E6C"/>
    <w:rsid w:val="00550185"/>
    <w:rsid w:val="005507B6"/>
    <w:rsid w:val="00565087"/>
    <w:rsid w:val="0056573F"/>
    <w:rsid w:val="005B2566"/>
    <w:rsid w:val="005C2A51"/>
    <w:rsid w:val="005C7A3C"/>
    <w:rsid w:val="0060020E"/>
    <w:rsid w:val="00611566"/>
    <w:rsid w:val="00631467"/>
    <w:rsid w:val="00646D99"/>
    <w:rsid w:val="00656910"/>
    <w:rsid w:val="00675F68"/>
    <w:rsid w:val="00681C1D"/>
    <w:rsid w:val="006B4F5B"/>
    <w:rsid w:val="006C66D8"/>
    <w:rsid w:val="006D0946"/>
    <w:rsid w:val="006D1E24"/>
    <w:rsid w:val="006E1417"/>
    <w:rsid w:val="006F6A2C"/>
    <w:rsid w:val="00701C04"/>
    <w:rsid w:val="00710201"/>
    <w:rsid w:val="0072073A"/>
    <w:rsid w:val="007258AF"/>
    <w:rsid w:val="007342B5"/>
    <w:rsid w:val="00734A5B"/>
    <w:rsid w:val="00744E76"/>
    <w:rsid w:val="00757D40"/>
    <w:rsid w:val="007750B4"/>
    <w:rsid w:val="00781F0F"/>
    <w:rsid w:val="007828BF"/>
    <w:rsid w:val="0078727C"/>
    <w:rsid w:val="0079049D"/>
    <w:rsid w:val="00793DC5"/>
    <w:rsid w:val="00794609"/>
    <w:rsid w:val="007B18D8"/>
    <w:rsid w:val="007C095F"/>
    <w:rsid w:val="007C2DD0"/>
    <w:rsid w:val="008028A4"/>
    <w:rsid w:val="00813245"/>
    <w:rsid w:val="0085120E"/>
    <w:rsid w:val="00864E5A"/>
    <w:rsid w:val="008768CA"/>
    <w:rsid w:val="00877EF9"/>
    <w:rsid w:val="00880559"/>
    <w:rsid w:val="00886436"/>
    <w:rsid w:val="00893C15"/>
    <w:rsid w:val="008964D1"/>
    <w:rsid w:val="008A35C7"/>
    <w:rsid w:val="008B5306"/>
    <w:rsid w:val="008D2E4D"/>
    <w:rsid w:val="008E52AA"/>
    <w:rsid w:val="008E5FCC"/>
    <w:rsid w:val="008F396F"/>
    <w:rsid w:val="0090271F"/>
    <w:rsid w:val="00902DB9"/>
    <w:rsid w:val="0090466A"/>
    <w:rsid w:val="0090745E"/>
    <w:rsid w:val="00920B80"/>
    <w:rsid w:val="00936071"/>
    <w:rsid w:val="00940212"/>
    <w:rsid w:val="00942EC2"/>
    <w:rsid w:val="00961B32"/>
    <w:rsid w:val="00962509"/>
    <w:rsid w:val="00970DB3"/>
    <w:rsid w:val="00974BB0"/>
    <w:rsid w:val="009A0AF3"/>
    <w:rsid w:val="009B07CD"/>
    <w:rsid w:val="009C19E9"/>
    <w:rsid w:val="009D0E80"/>
    <w:rsid w:val="009D1B99"/>
    <w:rsid w:val="009D74A6"/>
    <w:rsid w:val="009F78EA"/>
    <w:rsid w:val="00A066AC"/>
    <w:rsid w:val="00A10F02"/>
    <w:rsid w:val="00A126C6"/>
    <w:rsid w:val="00A167C1"/>
    <w:rsid w:val="00A204CA"/>
    <w:rsid w:val="00A209D6"/>
    <w:rsid w:val="00A3163B"/>
    <w:rsid w:val="00A44CE3"/>
    <w:rsid w:val="00A47B17"/>
    <w:rsid w:val="00A530EA"/>
    <w:rsid w:val="00A53724"/>
    <w:rsid w:val="00A54B2B"/>
    <w:rsid w:val="00A82346"/>
    <w:rsid w:val="00A9671C"/>
    <w:rsid w:val="00AA1553"/>
    <w:rsid w:val="00AB54D8"/>
    <w:rsid w:val="00AC70A1"/>
    <w:rsid w:val="00AE020D"/>
    <w:rsid w:val="00B029A8"/>
    <w:rsid w:val="00B05380"/>
    <w:rsid w:val="00B05962"/>
    <w:rsid w:val="00B132B9"/>
    <w:rsid w:val="00B15449"/>
    <w:rsid w:val="00B16C2F"/>
    <w:rsid w:val="00B27303"/>
    <w:rsid w:val="00B47FD1"/>
    <w:rsid w:val="00B516BB"/>
    <w:rsid w:val="00B84B52"/>
    <w:rsid w:val="00B84DB2"/>
    <w:rsid w:val="00BB589C"/>
    <w:rsid w:val="00BC03D1"/>
    <w:rsid w:val="00BC3555"/>
    <w:rsid w:val="00BC56E5"/>
    <w:rsid w:val="00BE6423"/>
    <w:rsid w:val="00BF4B9A"/>
    <w:rsid w:val="00C12B51"/>
    <w:rsid w:val="00C24650"/>
    <w:rsid w:val="00C25465"/>
    <w:rsid w:val="00C33079"/>
    <w:rsid w:val="00C35BB3"/>
    <w:rsid w:val="00C45F93"/>
    <w:rsid w:val="00C83A13"/>
    <w:rsid w:val="00C9068C"/>
    <w:rsid w:val="00C92967"/>
    <w:rsid w:val="00CA3D0C"/>
    <w:rsid w:val="00CA654B"/>
    <w:rsid w:val="00CB72B8"/>
    <w:rsid w:val="00CD4C7B"/>
    <w:rsid w:val="00CE2E1B"/>
    <w:rsid w:val="00D15EE0"/>
    <w:rsid w:val="00D33BE3"/>
    <w:rsid w:val="00D34039"/>
    <w:rsid w:val="00D3792D"/>
    <w:rsid w:val="00D55E47"/>
    <w:rsid w:val="00D62E19"/>
    <w:rsid w:val="00D64BBF"/>
    <w:rsid w:val="00D67CD1"/>
    <w:rsid w:val="00D738D6"/>
    <w:rsid w:val="00D80795"/>
    <w:rsid w:val="00D854BE"/>
    <w:rsid w:val="00D87E00"/>
    <w:rsid w:val="00D9134D"/>
    <w:rsid w:val="00D96D11"/>
    <w:rsid w:val="00D976A0"/>
    <w:rsid w:val="00DA7A03"/>
    <w:rsid w:val="00DB0DB8"/>
    <w:rsid w:val="00DB1818"/>
    <w:rsid w:val="00DB5608"/>
    <w:rsid w:val="00DC309B"/>
    <w:rsid w:val="00DC4DA2"/>
    <w:rsid w:val="00E11B5A"/>
    <w:rsid w:val="00E1349A"/>
    <w:rsid w:val="00E46A1B"/>
    <w:rsid w:val="00E46C08"/>
    <w:rsid w:val="00E471CF"/>
    <w:rsid w:val="00E62835"/>
    <w:rsid w:val="00E73D71"/>
    <w:rsid w:val="00E77645"/>
    <w:rsid w:val="00E83697"/>
    <w:rsid w:val="00E94F12"/>
    <w:rsid w:val="00EA66C9"/>
    <w:rsid w:val="00EB51F1"/>
    <w:rsid w:val="00EC4A25"/>
    <w:rsid w:val="00ED3A28"/>
    <w:rsid w:val="00F024EE"/>
    <w:rsid w:val="00F025A2"/>
    <w:rsid w:val="00F07388"/>
    <w:rsid w:val="00F2026E"/>
    <w:rsid w:val="00F2210A"/>
    <w:rsid w:val="00F25F9F"/>
    <w:rsid w:val="00F37743"/>
    <w:rsid w:val="00F46628"/>
    <w:rsid w:val="00F50D95"/>
    <w:rsid w:val="00F54A3D"/>
    <w:rsid w:val="00F54CB0"/>
    <w:rsid w:val="00F653B8"/>
    <w:rsid w:val="00F71B89"/>
    <w:rsid w:val="00F7353C"/>
    <w:rsid w:val="00F76F8F"/>
    <w:rsid w:val="00F83DC9"/>
    <w:rsid w:val="00F941DF"/>
    <w:rsid w:val="00FA1266"/>
    <w:rsid w:val="00FA21BB"/>
    <w:rsid w:val="00FA5F83"/>
    <w:rsid w:val="00FB36FA"/>
    <w:rsid w:val="00FC1192"/>
    <w:rsid w:val="00FE251B"/>
    <w:rsid w:val="00FE46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3A16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A1632"/>
    <w:pPr>
      <w:ind w:left="720"/>
      <w:contextualSpacing/>
    </w:pPr>
  </w:style>
  <w:style w:type="character" w:customStyle="1" w:styleId="Heading2Char">
    <w:name w:val="Heading 2 Char"/>
    <w:basedOn w:val="DefaultParagraphFont"/>
    <w:link w:val="Heading2"/>
    <w:rsid w:val="003A1632"/>
    <w:rPr>
      <w:rFonts w:ascii="Arial" w:hAnsi="Arial"/>
      <w:sz w:val="32"/>
      <w:lang w:eastAsia="en-US"/>
    </w:rPr>
  </w:style>
  <w:style w:type="character" w:styleId="CommentReference">
    <w:name w:val="annotation reference"/>
    <w:basedOn w:val="DefaultParagraphFont"/>
    <w:rsid w:val="002D5702"/>
    <w:rPr>
      <w:sz w:val="16"/>
      <w:szCs w:val="16"/>
    </w:rPr>
  </w:style>
  <w:style w:type="paragraph" w:styleId="CommentText">
    <w:name w:val="annotation text"/>
    <w:basedOn w:val="Normal"/>
    <w:link w:val="CommentTextChar"/>
    <w:rsid w:val="002D5702"/>
  </w:style>
  <w:style w:type="character" w:customStyle="1" w:styleId="CommentTextChar">
    <w:name w:val="Comment Text Char"/>
    <w:basedOn w:val="DefaultParagraphFont"/>
    <w:link w:val="CommentText"/>
    <w:rsid w:val="002D5702"/>
    <w:rPr>
      <w:lang w:eastAsia="en-US"/>
    </w:rPr>
  </w:style>
  <w:style w:type="paragraph" w:styleId="CommentSubject">
    <w:name w:val="annotation subject"/>
    <w:basedOn w:val="CommentText"/>
    <w:next w:val="CommentText"/>
    <w:link w:val="CommentSubjectChar"/>
    <w:rsid w:val="002D5702"/>
    <w:rPr>
      <w:b/>
      <w:bCs/>
    </w:rPr>
  </w:style>
  <w:style w:type="character" w:customStyle="1" w:styleId="CommentSubjectChar">
    <w:name w:val="Comment Subject Char"/>
    <w:basedOn w:val="CommentTextChar"/>
    <w:link w:val="CommentSubject"/>
    <w:rsid w:val="002D5702"/>
    <w:rPr>
      <w:b/>
      <w:bCs/>
      <w:lang w:eastAsia="en-US"/>
    </w:rPr>
  </w:style>
  <w:style w:type="character" w:customStyle="1" w:styleId="Heading1Char">
    <w:name w:val="Heading 1 Char"/>
    <w:basedOn w:val="DefaultParagraphFont"/>
    <w:link w:val="Heading1"/>
    <w:rsid w:val="00137D8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798435">
      <w:bodyDiv w:val="1"/>
      <w:marLeft w:val="0"/>
      <w:marRight w:val="0"/>
      <w:marTop w:val="0"/>
      <w:marBottom w:val="0"/>
      <w:divBdr>
        <w:top w:val="none" w:sz="0" w:space="0" w:color="auto"/>
        <w:left w:val="none" w:sz="0" w:space="0" w:color="auto"/>
        <w:bottom w:val="none" w:sz="0" w:space="0" w:color="auto"/>
        <w:right w:val="none" w:sz="0" w:space="0" w:color="auto"/>
      </w:divBdr>
    </w:div>
    <w:div w:id="494498044">
      <w:bodyDiv w:val="1"/>
      <w:marLeft w:val="0"/>
      <w:marRight w:val="0"/>
      <w:marTop w:val="0"/>
      <w:marBottom w:val="0"/>
      <w:divBdr>
        <w:top w:val="none" w:sz="0" w:space="0" w:color="auto"/>
        <w:left w:val="none" w:sz="0" w:space="0" w:color="auto"/>
        <w:bottom w:val="none" w:sz="0" w:space="0" w:color="auto"/>
        <w:right w:val="none" w:sz="0" w:space="0" w:color="auto"/>
      </w:divBdr>
    </w:div>
    <w:div w:id="540214286">
      <w:bodyDiv w:val="1"/>
      <w:marLeft w:val="0"/>
      <w:marRight w:val="0"/>
      <w:marTop w:val="0"/>
      <w:marBottom w:val="0"/>
      <w:divBdr>
        <w:top w:val="none" w:sz="0" w:space="0" w:color="auto"/>
        <w:left w:val="none" w:sz="0" w:space="0" w:color="auto"/>
        <w:bottom w:val="none" w:sz="0" w:space="0" w:color="auto"/>
        <w:right w:val="none" w:sz="0" w:space="0" w:color="auto"/>
      </w:divBdr>
      <w:divsChild>
        <w:div w:id="1520654670">
          <w:marLeft w:val="274"/>
          <w:marRight w:val="0"/>
          <w:marTop w:val="0"/>
          <w:marBottom w:val="0"/>
          <w:divBdr>
            <w:top w:val="none" w:sz="0" w:space="0" w:color="auto"/>
            <w:left w:val="none" w:sz="0" w:space="0" w:color="auto"/>
            <w:bottom w:val="none" w:sz="0" w:space="0" w:color="auto"/>
            <w:right w:val="none" w:sz="0" w:space="0" w:color="auto"/>
          </w:divBdr>
        </w:div>
        <w:div w:id="1808667270">
          <w:marLeft w:val="274"/>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0479358">
      <w:bodyDiv w:val="1"/>
      <w:marLeft w:val="0"/>
      <w:marRight w:val="0"/>
      <w:marTop w:val="0"/>
      <w:marBottom w:val="0"/>
      <w:divBdr>
        <w:top w:val="none" w:sz="0" w:space="0" w:color="auto"/>
        <w:left w:val="none" w:sz="0" w:space="0" w:color="auto"/>
        <w:bottom w:val="none" w:sz="0" w:space="0" w:color="auto"/>
        <w:right w:val="none" w:sz="0" w:space="0" w:color="auto"/>
      </w:divBdr>
    </w:div>
    <w:div w:id="1079671857">
      <w:bodyDiv w:val="1"/>
      <w:marLeft w:val="0"/>
      <w:marRight w:val="0"/>
      <w:marTop w:val="0"/>
      <w:marBottom w:val="0"/>
      <w:divBdr>
        <w:top w:val="none" w:sz="0" w:space="0" w:color="auto"/>
        <w:left w:val="none" w:sz="0" w:space="0" w:color="auto"/>
        <w:bottom w:val="none" w:sz="0" w:space="0" w:color="auto"/>
        <w:right w:val="none" w:sz="0" w:space="0" w:color="auto"/>
      </w:divBdr>
    </w:div>
    <w:div w:id="12023547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5AIRPNAIUNRU-859666464-5114</_dlc_DocId>
    <_dlc_DocIdUrl xmlns="71c5aaf6-e6ce-465b-b873-5148d2a4c105">
      <Url>https://nokia.sharepoint.com/sites/c5g/e2earch/_layouts/15/DocIdRedir.aspx?ID=5AIRPNAIUNRU-859666464-5114</Url>
      <Description>5AIRPNAIUNRU-859666464-5114</Description>
    </_dlc_DocIdUrl>
  </documentManagement>
</p:properties>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44</TotalTime>
  <Pages>1</Pages>
  <Words>712</Words>
  <Characters>4065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4768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Viering, Ingo (EXT - DE/Munich)</dc:creator>
  <cp:lastModifiedBy>Nokia</cp:lastModifiedBy>
  <cp:revision>10</cp:revision>
  <dcterms:created xsi:type="dcterms:W3CDTF">2019-05-01T09:05:00Z</dcterms:created>
  <dcterms:modified xsi:type="dcterms:W3CDTF">2019-05-02T21:27:00Z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cd501de0-afb8-4d75-88ab-e083d2d01a27</vt:lpwstr>
  </property>
</Properties>
</file>